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FC513D">
        <w:rPr>
          <w:rFonts w:ascii="Times New Roman" w:hAnsi="Times New Roman" w:cs="Times New Roman"/>
        </w:rPr>
        <w:t>9</w:t>
      </w:r>
      <w:r w:rsidR="001154CB">
        <w:rPr>
          <w:rFonts w:ascii="Times New Roman" w:hAnsi="Times New Roman" w:cs="Times New Roman"/>
        </w:rPr>
        <w:t>/</w:t>
      </w:r>
      <w:r w:rsidR="00DB76A8">
        <w:rPr>
          <w:rFonts w:ascii="Times New Roman" w:hAnsi="Times New Roman" w:cs="Times New Roman"/>
        </w:rPr>
        <w:t>8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345E2C" w:rsidRDefault="00345E2C" w:rsidP="00345E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article a colleague shared with tips for choosing games for students -- </w:t>
      </w:r>
      <w:hyperlink r:id="rId5" w:history="1">
        <w:r w:rsidRPr="004908F5">
          <w:rPr>
            <w:rStyle w:val="Hyperlink"/>
            <w:rFonts w:ascii="Times New Roman" w:hAnsi="Times New Roman" w:cs="Times New Roman"/>
          </w:rPr>
          <w:t>http://blogs.kqed.org/mindshift/2014/08/need-help-picking-the-right-learning-game-some-things-to-consider/</w:t>
        </w:r>
      </w:hyperlink>
    </w:p>
    <w:p w:rsidR="00345E2C" w:rsidRDefault="000E4389" w:rsidP="00345E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online course (could be used for CEUs I think – short option &amp; long option listed in the description) – “Using Evidence to Inform Instruction” – purposeful feedback &amp; role of grades, analyzing patterns in student work to inform instruction, “talk in class” as assessment tool -- </w:t>
      </w:r>
      <w:hyperlink r:id="rId6" w:history="1">
        <w:r w:rsidRPr="008A2392">
          <w:rPr>
            <w:rStyle w:val="Hyperlink"/>
            <w:rFonts w:ascii="Times New Roman" w:hAnsi="Times New Roman" w:cs="Times New Roman"/>
          </w:rPr>
          <w:t>https://secure.ncte.org/store/course-using-evidence-fall-2014?roi=echo4-27714982401-45620600-e8d8cb2bc3c38716b518b7f6d4abd656&amp;utm_source=22621391&amp;amp;utm_medium=Email&amp;amp;utm_campaign=High+Road</w:t>
        </w:r>
      </w:hyperlink>
    </w:p>
    <w:p w:rsidR="000E4389" w:rsidRDefault="00C37CFA" w:rsidP="00345E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informative article about using formative assessments, strategies for responding to formative assessment data -- </w:t>
      </w:r>
      <w:hyperlink r:id="rId7" w:history="1">
        <w:r w:rsidRPr="008A2392">
          <w:rPr>
            <w:rStyle w:val="Hyperlink"/>
            <w:rFonts w:ascii="Times New Roman" w:hAnsi="Times New Roman" w:cs="Times New Roman"/>
          </w:rPr>
          <w:t>http://www.ncte.org/library/NCTEFiles/Resources/Journals/VM/0212-dec2013/VM0212Formative.pdf?roi=echo4-27714982401-45620608-70b8bef81f928b52cba311fc4747fd18&amp;utm_source=22621391&amp;amp;utm_medium=Email&amp;amp;utm_campaign=High+Road</w:t>
        </w:r>
      </w:hyperlink>
    </w:p>
    <w:p w:rsidR="00C37CFA" w:rsidRDefault="00D071EF" w:rsidP="00345E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Importance of rubrics &amp; consistency between teachers *plus some sample rubrics for various classes to download  -- </w:t>
      </w:r>
      <w:hyperlink r:id="rId8" w:history="1">
        <w:r w:rsidRPr="00B014DB">
          <w:rPr>
            <w:rStyle w:val="Hyperlink"/>
            <w:rFonts w:ascii="Times New Roman" w:hAnsi="Times New Roman" w:cs="Times New Roman"/>
          </w:rPr>
          <w:t>https://www.teachingchannel.org/blog/2014/08/28/tips-for-calibrating-feedback/</w:t>
        </w:r>
      </w:hyperlink>
    </w:p>
    <w:p w:rsidR="00707356" w:rsidRPr="006D62F6" w:rsidRDefault="00707356" w:rsidP="006D62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resource for Common Core plans for ELA &amp; math (thanks, Mrs. Jackson) – great close reading template, think aloud exemplar, and more -- </w:t>
      </w:r>
      <w:hyperlink r:id="rId9" w:history="1">
        <w:r w:rsidRPr="00073900">
          <w:rPr>
            <w:rStyle w:val="Hyperlink"/>
            <w:rFonts w:ascii="Times New Roman" w:hAnsi="Times New Roman" w:cs="Times New Roman"/>
          </w:rPr>
          <w:t>http://www.justaskpublications.com/just-ask-resource-center/common-core-resources/</w:t>
        </w:r>
      </w:hyperlink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CA103B" w:rsidRPr="006D62F6" w:rsidRDefault="00CA103B" w:rsidP="006D62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Cool article about huge rocks moving on “Racetrack Playa” in Death Valley – could spur some interesting discussions of testing hypotheses, developing theories, impact of changing weather patterns, etc --  </w:t>
      </w:r>
      <w:hyperlink r:id="rId10" w:history="1">
        <w:r w:rsidRPr="00B014DB">
          <w:rPr>
            <w:rStyle w:val="Hyperlink"/>
            <w:rFonts w:ascii="Times New Roman" w:hAnsi="Times New Roman" w:cs="Times New Roman"/>
          </w:rPr>
          <w:t>https://newsela.com/articles/deathvalley-rocks/id/5027/</w:t>
        </w:r>
      </w:hyperlink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DB76A8" w:rsidRDefault="00DB76A8" w:rsidP="00DB76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Dealing with economics – supply &amp; demand, environmental factors that raise costs, etc. – article about bacon -- </w:t>
      </w:r>
      <w:hyperlink r:id="rId11" w:history="1">
        <w:r w:rsidRPr="00F26B4E">
          <w:rPr>
            <w:rStyle w:val="Hyperlink"/>
            <w:rFonts w:ascii="Times New Roman" w:hAnsi="Times New Roman" w:cs="Times New Roman"/>
          </w:rPr>
          <w:t>https://newsela.com/articles/bacon-priceincrease/id/4986/</w:t>
        </w:r>
      </w:hyperlink>
    </w:p>
    <w:p w:rsidR="00DB76A8" w:rsidRDefault="001B4CDE" w:rsidP="00DB76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that could spur discussions of understanding cultural images, specifically Native American headdresses -- </w:t>
      </w:r>
      <w:hyperlink r:id="rId12" w:history="1">
        <w:r w:rsidRPr="00F26B4E">
          <w:rPr>
            <w:rStyle w:val="Hyperlink"/>
            <w:rFonts w:ascii="Times New Roman" w:hAnsi="Times New Roman" w:cs="Times New Roman"/>
          </w:rPr>
          <w:t>https://newsela.com/articles/headdress-twitter/id/5016/</w:t>
        </w:r>
      </w:hyperlink>
    </w:p>
    <w:p w:rsidR="001B4CDE" w:rsidRDefault="00D15038" w:rsidP="00DB76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Conservation – could go well as you discuss human – environment interaction -- </w:t>
      </w:r>
      <w:hyperlink r:id="rId13" w:history="1">
        <w:r w:rsidRPr="004908F5">
          <w:rPr>
            <w:rStyle w:val="Hyperlink"/>
            <w:rFonts w:ascii="Times New Roman" w:hAnsi="Times New Roman" w:cs="Times New Roman"/>
          </w:rPr>
          <w:t>https://newsela.com/articles/conservation-careers/id/5030/</w:t>
        </w:r>
      </w:hyperlink>
    </w:p>
    <w:p w:rsidR="00C73376" w:rsidRPr="006D62F6" w:rsidRDefault="00C73376" w:rsidP="006D62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one for human-environment interaction – wild horses on Corolla Beach, NC, under threat -- </w:t>
      </w:r>
      <w:hyperlink r:id="rId14" w:history="1">
        <w:r w:rsidRPr="00B014DB">
          <w:rPr>
            <w:rStyle w:val="Hyperlink"/>
            <w:rFonts w:ascii="Times New Roman" w:hAnsi="Times New Roman" w:cs="Times New Roman"/>
          </w:rPr>
          <w:t>https://newsela.com/articles/mustangs-northcarolina/id/5013/</w:t>
        </w:r>
      </w:hyperlink>
    </w:p>
    <w:p w:rsidR="00A021FD" w:rsidRDefault="00A021FD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6A7171" w:rsidRDefault="006A7171" w:rsidP="006A71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w/ lyrics for “Am I Wrong?” – thought it could work well for discussing personal identity, not following the crowd, </w:t>
      </w:r>
      <w:r w:rsidR="004428AD">
        <w:rPr>
          <w:rFonts w:ascii="Times New Roman" w:hAnsi="Times New Roman" w:cs="Times New Roman"/>
        </w:rPr>
        <w:t xml:space="preserve">taking risks, looking to improve oneself, </w:t>
      </w:r>
      <w:r>
        <w:rPr>
          <w:rFonts w:ascii="Times New Roman" w:hAnsi="Times New Roman" w:cs="Times New Roman"/>
        </w:rPr>
        <w:t xml:space="preserve">etc.  -- </w:t>
      </w:r>
      <w:hyperlink r:id="rId15" w:history="1">
        <w:r w:rsidRPr="00F26B4E">
          <w:rPr>
            <w:rStyle w:val="Hyperlink"/>
            <w:rFonts w:ascii="Times New Roman" w:hAnsi="Times New Roman" w:cs="Times New Roman"/>
          </w:rPr>
          <w:t>http://www.youtube.com/watch?v=VBmEJZofz2s&amp;sns=em</w:t>
        </w:r>
      </w:hyperlink>
    </w:p>
    <w:p w:rsidR="00E277D9" w:rsidRPr="006D62F6" w:rsidRDefault="00E277D9" w:rsidP="006D62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Read-write-think (always a great resource) – teaching plot structure (thanks, Mr. Joyce) -- </w:t>
      </w:r>
      <w:hyperlink r:id="rId16" w:history="1">
        <w:r w:rsidRPr="00073900">
          <w:rPr>
            <w:rStyle w:val="Hyperlink"/>
            <w:rFonts w:ascii="Times New Roman" w:hAnsi="Times New Roman" w:cs="Times New Roman"/>
          </w:rPr>
          <w:t>http://www.readwritethink.org/classroom-resources/lesson-plans/teaching-plot-structure-</w:t>
        </w:r>
        <w:r w:rsidRPr="00073900">
          <w:rPr>
            <w:rStyle w:val="Hyperlink"/>
            <w:rFonts w:ascii="Times New Roman" w:hAnsi="Times New Roman" w:cs="Times New Roman"/>
          </w:rPr>
          <w:lastRenderedPageBreak/>
          <w:t>through-401.html?tab=4</w:t>
        </w:r>
      </w:hyperlink>
      <w:r w:rsidR="008E50F7">
        <w:rPr>
          <w:rFonts w:ascii="Times New Roman" w:hAnsi="Times New Roman" w:cs="Times New Roman"/>
        </w:rPr>
        <w:t xml:space="preserve"> AND </w:t>
      </w:r>
      <w:proofErr w:type="spellStart"/>
      <w:r w:rsidR="008E50F7">
        <w:rPr>
          <w:rFonts w:ascii="Times New Roman" w:hAnsi="Times New Roman" w:cs="Times New Roman"/>
        </w:rPr>
        <w:t>slideshare</w:t>
      </w:r>
      <w:proofErr w:type="spellEnd"/>
      <w:r w:rsidR="008E50F7">
        <w:rPr>
          <w:rFonts w:ascii="Times New Roman" w:hAnsi="Times New Roman" w:cs="Times New Roman"/>
        </w:rPr>
        <w:t xml:space="preserve"> on plot structure -- </w:t>
      </w:r>
      <w:hyperlink r:id="rId17" w:history="1">
        <w:r w:rsidR="008E50F7" w:rsidRPr="00073900">
          <w:rPr>
            <w:rStyle w:val="Hyperlink"/>
            <w:rFonts w:ascii="Times New Roman" w:hAnsi="Times New Roman" w:cs="Times New Roman"/>
          </w:rPr>
          <w:t>http://www.slideshare.net/ledavis/plot-structure-3378425</w:t>
        </w:r>
      </w:hyperlink>
    </w:p>
    <w:p w:rsidR="00F62A13" w:rsidRDefault="00F62A13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</w:t>
      </w:r>
    </w:p>
    <w:p w:rsidR="0052290F" w:rsidRDefault="0052290F" w:rsidP="005229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TenMarks</w:t>
      </w:r>
      <w:proofErr w:type="spellEnd"/>
      <w:r>
        <w:rPr>
          <w:rFonts w:ascii="Times New Roman" w:hAnsi="Times New Roman" w:cs="Times New Roman"/>
        </w:rPr>
        <w:t xml:space="preserve"> – if you haven’t used it before, check it out -- </w:t>
      </w:r>
      <w:hyperlink r:id="rId18" w:history="1">
        <w:r w:rsidRPr="00F26B4E">
          <w:rPr>
            <w:rStyle w:val="Hyperlink"/>
            <w:rFonts w:ascii="Times New Roman" w:hAnsi="Times New Roman" w:cs="Times New Roman"/>
          </w:rPr>
          <w:t>https://www.tenmarks.com/login</w:t>
        </w:r>
      </w:hyperlink>
    </w:p>
    <w:p w:rsidR="007E1232" w:rsidRPr="006D62F6" w:rsidRDefault="007E1232" w:rsidP="006D62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Metametrics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quantile</w:t>
      </w:r>
      <w:proofErr w:type="spellEnd"/>
      <w:r>
        <w:rPr>
          <w:rFonts w:ascii="Times New Roman" w:hAnsi="Times New Roman" w:cs="Times New Roman"/>
        </w:rPr>
        <w:t xml:space="preserve"> measures – on the “benefits for educators” part of the site, you can get to a “math skills database” to see which standards seem to fall into which </w:t>
      </w:r>
      <w:proofErr w:type="spellStart"/>
      <w:r>
        <w:rPr>
          <w:rFonts w:ascii="Times New Roman" w:hAnsi="Times New Roman" w:cs="Times New Roman"/>
        </w:rPr>
        <w:t>quantiles</w:t>
      </w:r>
      <w:proofErr w:type="spellEnd"/>
      <w:r>
        <w:rPr>
          <w:rFonts w:ascii="Times New Roman" w:hAnsi="Times New Roman" w:cs="Times New Roman"/>
        </w:rPr>
        <w:t xml:space="preserve"> (may help gauge if students are ready or need more support before you teach that skill), but better than that, there is a “</w:t>
      </w:r>
      <w:proofErr w:type="spellStart"/>
      <w:r>
        <w:rPr>
          <w:rFonts w:ascii="Times New Roman" w:hAnsi="Times New Roman" w:cs="Times New Roman"/>
        </w:rPr>
        <w:t>quantile</w:t>
      </w:r>
      <w:proofErr w:type="spellEnd"/>
      <w:r>
        <w:rPr>
          <w:rFonts w:ascii="Times New Roman" w:hAnsi="Times New Roman" w:cs="Times New Roman"/>
        </w:rPr>
        <w:t xml:space="preserve"> teacher assistant” that gives sample problems / question stems for “prerequisite, focus, supporting, impending QSC” (</w:t>
      </w:r>
      <w:proofErr w:type="spellStart"/>
      <w:r>
        <w:rPr>
          <w:rFonts w:ascii="Times New Roman" w:hAnsi="Times New Roman" w:cs="Times New Roman"/>
        </w:rPr>
        <w:t>quantile</w:t>
      </w:r>
      <w:proofErr w:type="spellEnd"/>
      <w:r>
        <w:rPr>
          <w:rFonts w:ascii="Times New Roman" w:hAnsi="Times New Roman" w:cs="Times New Roman"/>
        </w:rPr>
        <w:t xml:space="preserve"> skill and concept) – seems like this could be pretty helpful -- </w:t>
      </w:r>
      <w:hyperlink r:id="rId19" w:history="1">
        <w:r w:rsidRPr="004908F5">
          <w:rPr>
            <w:rStyle w:val="Hyperlink"/>
            <w:rFonts w:ascii="Times New Roman" w:hAnsi="Times New Roman" w:cs="Times New Roman"/>
          </w:rPr>
          <w:t>https://www.quantiles.com/content/benefits-for-educators/</w:t>
        </w:r>
      </w:hyperlink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</w:p>
    <w:p w:rsidR="002C77C7" w:rsidRPr="006D62F6" w:rsidRDefault="000759AA" w:rsidP="006D62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ASW (analysis of student work) link to the </w:t>
      </w:r>
      <w:proofErr w:type="spellStart"/>
      <w:r>
        <w:rPr>
          <w:rFonts w:ascii="Times New Roman" w:hAnsi="Times New Roman" w:cs="Times New Roman"/>
        </w:rPr>
        <w:t>wikispace</w:t>
      </w:r>
      <w:proofErr w:type="spellEnd"/>
      <w:r>
        <w:rPr>
          <w:rFonts w:ascii="Times New Roman" w:hAnsi="Times New Roman" w:cs="Times New Roman"/>
        </w:rPr>
        <w:t xml:space="preserve"> --</w:t>
      </w:r>
      <w:r w:rsidR="002C77C7">
        <w:rPr>
          <w:rFonts w:ascii="Times New Roman" w:hAnsi="Times New Roman" w:cs="Times New Roman"/>
        </w:rPr>
        <w:t xml:space="preserve">  </w:t>
      </w:r>
      <w:hyperlink r:id="rId20" w:history="1">
        <w:r w:rsidR="002C77C7" w:rsidRPr="008D6B25">
          <w:rPr>
            <w:rStyle w:val="Hyperlink"/>
            <w:rFonts w:ascii="Times New Roman" w:hAnsi="Times New Roman" w:cs="Times New Roman"/>
          </w:rPr>
          <w:t>http://ncasw.ncdpi.wikispaces.net/</w:t>
        </w:r>
      </w:hyperlink>
      <w:r>
        <w:t xml:space="preserve">  there are some helpful documents on there</w:t>
      </w:r>
    </w:p>
    <w:p w:rsidR="006A6D26" w:rsidRDefault="009F562F" w:rsidP="009F5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</w:p>
    <w:p w:rsidR="00B9081F" w:rsidRDefault="002C7E61" w:rsidP="00B9081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sorry</w:t>
      </w:r>
      <w:proofErr w:type="gramEnd"/>
      <w:r>
        <w:rPr>
          <w:rFonts w:ascii="Times New Roman" w:hAnsi="Times New Roman" w:cs="Times New Roman"/>
        </w:rPr>
        <w:t xml:space="preserve"> for ELA joke, but I just had to share)</w:t>
      </w:r>
    </w:p>
    <w:p w:rsidR="002C7E61" w:rsidRPr="00B9081F" w:rsidRDefault="002C7E61" w:rsidP="00B9081F">
      <w:pPr>
        <w:pStyle w:val="ListParagraph"/>
        <w:ind w:left="1440"/>
        <w:rPr>
          <w:rFonts w:ascii="Times New Roman" w:hAnsi="Times New Roman" w:cs="Times New Roman"/>
        </w:rPr>
      </w:pPr>
    </w:p>
    <w:p w:rsidR="00DD6B78" w:rsidRDefault="00DD6B78" w:rsidP="00DD6B78">
      <w:pPr>
        <w:pStyle w:val="ListParagraph"/>
        <w:ind w:left="1080"/>
        <w:rPr>
          <w:rFonts w:ascii="Times New Roman" w:hAnsi="Times New Roman" w:cs="Times New Roman"/>
        </w:rPr>
      </w:pPr>
    </w:p>
    <w:p w:rsidR="00AD23A9" w:rsidRPr="00AD23A9" w:rsidRDefault="002C7E61" w:rsidP="00DD6B78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r w:rsidRPr="002C7E61">
        <w:rPr>
          <w:rFonts w:ascii="Times New Roman" w:hAnsi="Times New Roman" w:cs="Times New Roman"/>
          <w:noProof/>
          <w:sz w:val="12"/>
          <w:szCs w:val="12"/>
        </w:rPr>
        <w:drawing>
          <wp:inline distT="0" distB="0" distL="0" distR="0">
            <wp:extent cx="3891642" cy="2724150"/>
            <wp:effectExtent l="19050" t="0" r="0" b="0"/>
            <wp:docPr id="1" name="Picture 1" descr="Alot is not a word. You don't write alittle, abunch, acantaloupe, aporkchop. So don't write al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t is not a word. You don't write alittle, abunch, acantaloupe, aporkchop. So don't write alot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28" cy="27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3A9" w:rsidRPr="00AD23A9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759AA"/>
    <w:rsid w:val="000A2042"/>
    <w:rsid w:val="000E33A2"/>
    <w:rsid w:val="000E4389"/>
    <w:rsid w:val="001154CB"/>
    <w:rsid w:val="001162C8"/>
    <w:rsid w:val="00120DAA"/>
    <w:rsid w:val="00121CD7"/>
    <w:rsid w:val="00134785"/>
    <w:rsid w:val="00147E76"/>
    <w:rsid w:val="00171E17"/>
    <w:rsid w:val="001911F8"/>
    <w:rsid w:val="001A409B"/>
    <w:rsid w:val="001B4CDE"/>
    <w:rsid w:val="001C40BB"/>
    <w:rsid w:val="001D1611"/>
    <w:rsid w:val="001D6675"/>
    <w:rsid w:val="001E1842"/>
    <w:rsid w:val="001E2BA9"/>
    <w:rsid w:val="001E5740"/>
    <w:rsid w:val="001F4988"/>
    <w:rsid w:val="00200B96"/>
    <w:rsid w:val="00203CE2"/>
    <w:rsid w:val="00236B45"/>
    <w:rsid w:val="00244831"/>
    <w:rsid w:val="00245690"/>
    <w:rsid w:val="00256C13"/>
    <w:rsid w:val="00273B07"/>
    <w:rsid w:val="002B208D"/>
    <w:rsid w:val="002B525F"/>
    <w:rsid w:val="002C4AD2"/>
    <w:rsid w:val="002C77C7"/>
    <w:rsid w:val="002C7E61"/>
    <w:rsid w:val="002D2057"/>
    <w:rsid w:val="002D6027"/>
    <w:rsid w:val="003165A8"/>
    <w:rsid w:val="00321DC2"/>
    <w:rsid w:val="00326107"/>
    <w:rsid w:val="0033070B"/>
    <w:rsid w:val="00345E2C"/>
    <w:rsid w:val="00355564"/>
    <w:rsid w:val="00365118"/>
    <w:rsid w:val="0037088F"/>
    <w:rsid w:val="003719D7"/>
    <w:rsid w:val="00372D3E"/>
    <w:rsid w:val="003824F3"/>
    <w:rsid w:val="003960D7"/>
    <w:rsid w:val="003C4FF5"/>
    <w:rsid w:val="003D7353"/>
    <w:rsid w:val="003E7427"/>
    <w:rsid w:val="003F1440"/>
    <w:rsid w:val="003F3897"/>
    <w:rsid w:val="003F5D54"/>
    <w:rsid w:val="004142DB"/>
    <w:rsid w:val="00427852"/>
    <w:rsid w:val="004362F9"/>
    <w:rsid w:val="0044069D"/>
    <w:rsid w:val="004428AD"/>
    <w:rsid w:val="004576F8"/>
    <w:rsid w:val="00460DA0"/>
    <w:rsid w:val="004932DF"/>
    <w:rsid w:val="00495739"/>
    <w:rsid w:val="00497840"/>
    <w:rsid w:val="004A7437"/>
    <w:rsid w:val="004E02FE"/>
    <w:rsid w:val="00506F81"/>
    <w:rsid w:val="00507AD7"/>
    <w:rsid w:val="0052290F"/>
    <w:rsid w:val="005532CB"/>
    <w:rsid w:val="00575C88"/>
    <w:rsid w:val="00590424"/>
    <w:rsid w:val="005A14D0"/>
    <w:rsid w:val="005A620C"/>
    <w:rsid w:val="005C6AC9"/>
    <w:rsid w:val="005D40B0"/>
    <w:rsid w:val="005E1417"/>
    <w:rsid w:val="005E41F6"/>
    <w:rsid w:val="005F2FAB"/>
    <w:rsid w:val="005F7A99"/>
    <w:rsid w:val="005F7B80"/>
    <w:rsid w:val="006222D2"/>
    <w:rsid w:val="006253CA"/>
    <w:rsid w:val="00631EC5"/>
    <w:rsid w:val="00633D30"/>
    <w:rsid w:val="00635C44"/>
    <w:rsid w:val="00637DC2"/>
    <w:rsid w:val="006513E5"/>
    <w:rsid w:val="00684854"/>
    <w:rsid w:val="0069221C"/>
    <w:rsid w:val="006A6D26"/>
    <w:rsid w:val="006A7171"/>
    <w:rsid w:val="006C49DC"/>
    <w:rsid w:val="006D152E"/>
    <w:rsid w:val="006D62F6"/>
    <w:rsid w:val="006E5857"/>
    <w:rsid w:val="0070328C"/>
    <w:rsid w:val="00707356"/>
    <w:rsid w:val="00740EE2"/>
    <w:rsid w:val="00776CBB"/>
    <w:rsid w:val="007A3B07"/>
    <w:rsid w:val="007B2A5D"/>
    <w:rsid w:val="007B3280"/>
    <w:rsid w:val="007D2626"/>
    <w:rsid w:val="007E1232"/>
    <w:rsid w:val="007E152B"/>
    <w:rsid w:val="007F692F"/>
    <w:rsid w:val="00806049"/>
    <w:rsid w:val="00812613"/>
    <w:rsid w:val="0084072D"/>
    <w:rsid w:val="00840CF3"/>
    <w:rsid w:val="008446F8"/>
    <w:rsid w:val="00856680"/>
    <w:rsid w:val="00862AE0"/>
    <w:rsid w:val="0087355E"/>
    <w:rsid w:val="00875BBC"/>
    <w:rsid w:val="00882CEC"/>
    <w:rsid w:val="008967D3"/>
    <w:rsid w:val="008A2DA7"/>
    <w:rsid w:val="008B3489"/>
    <w:rsid w:val="008C2680"/>
    <w:rsid w:val="008D09B9"/>
    <w:rsid w:val="008D2764"/>
    <w:rsid w:val="008E2EFD"/>
    <w:rsid w:val="008E50F7"/>
    <w:rsid w:val="008F41D1"/>
    <w:rsid w:val="0090438C"/>
    <w:rsid w:val="00915225"/>
    <w:rsid w:val="00930047"/>
    <w:rsid w:val="009400A0"/>
    <w:rsid w:val="00940697"/>
    <w:rsid w:val="009545A1"/>
    <w:rsid w:val="00957C5E"/>
    <w:rsid w:val="009B3806"/>
    <w:rsid w:val="009C2A71"/>
    <w:rsid w:val="009E5290"/>
    <w:rsid w:val="009F562F"/>
    <w:rsid w:val="00A021FD"/>
    <w:rsid w:val="00A074DD"/>
    <w:rsid w:val="00A17DAA"/>
    <w:rsid w:val="00A40C16"/>
    <w:rsid w:val="00A422EE"/>
    <w:rsid w:val="00A80157"/>
    <w:rsid w:val="00A93DB5"/>
    <w:rsid w:val="00AB79E6"/>
    <w:rsid w:val="00AC0681"/>
    <w:rsid w:val="00AD23A9"/>
    <w:rsid w:val="00AE34B4"/>
    <w:rsid w:val="00B05D9B"/>
    <w:rsid w:val="00B12151"/>
    <w:rsid w:val="00B33587"/>
    <w:rsid w:val="00B46BF6"/>
    <w:rsid w:val="00B677B9"/>
    <w:rsid w:val="00B730F7"/>
    <w:rsid w:val="00B75949"/>
    <w:rsid w:val="00B9081F"/>
    <w:rsid w:val="00B93ACC"/>
    <w:rsid w:val="00BA038D"/>
    <w:rsid w:val="00BA212F"/>
    <w:rsid w:val="00BB73C4"/>
    <w:rsid w:val="00BC2610"/>
    <w:rsid w:val="00BD320B"/>
    <w:rsid w:val="00BF7118"/>
    <w:rsid w:val="00C1635D"/>
    <w:rsid w:val="00C37CFA"/>
    <w:rsid w:val="00C57DE3"/>
    <w:rsid w:val="00C61120"/>
    <w:rsid w:val="00C61E3C"/>
    <w:rsid w:val="00C64CD5"/>
    <w:rsid w:val="00C73376"/>
    <w:rsid w:val="00C97FE1"/>
    <w:rsid w:val="00CA103B"/>
    <w:rsid w:val="00CA7463"/>
    <w:rsid w:val="00CB4E9E"/>
    <w:rsid w:val="00CC13B2"/>
    <w:rsid w:val="00CE12D5"/>
    <w:rsid w:val="00D071EF"/>
    <w:rsid w:val="00D072C9"/>
    <w:rsid w:val="00D15038"/>
    <w:rsid w:val="00D3104A"/>
    <w:rsid w:val="00D342ED"/>
    <w:rsid w:val="00D3606E"/>
    <w:rsid w:val="00D451A4"/>
    <w:rsid w:val="00D54EC2"/>
    <w:rsid w:val="00D62BDE"/>
    <w:rsid w:val="00D81923"/>
    <w:rsid w:val="00DB76A8"/>
    <w:rsid w:val="00DD50B2"/>
    <w:rsid w:val="00DD5AE2"/>
    <w:rsid w:val="00DD69CD"/>
    <w:rsid w:val="00DD6B78"/>
    <w:rsid w:val="00DF0E03"/>
    <w:rsid w:val="00DF11B7"/>
    <w:rsid w:val="00E03950"/>
    <w:rsid w:val="00E07CE6"/>
    <w:rsid w:val="00E10298"/>
    <w:rsid w:val="00E225F4"/>
    <w:rsid w:val="00E277D9"/>
    <w:rsid w:val="00E32D46"/>
    <w:rsid w:val="00E41F08"/>
    <w:rsid w:val="00E54068"/>
    <w:rsid w:val="00E62B32"/>
    <w:rsid w:val="00E63489"/>
    <w:rsid w:val="00E701A9"/>
    <w:rsid w:val="00E81571"/>
    <w:rsid w:val="00EA5A9E"/>
    <w:rsid w:val="00EC4F09"/>
    <w:rsid w:val="00ED32C7"/>
    <w:rsid w:val="00EF63FF"/>
    <w:rsid w:val="00F03E26"/>
    <w:rsid w:val="00F12623"/>
    <w:rsid w:val="00F1561D"/>
    <w:rsid w:val="00F17CEF"/>
    <w:rsid w:val="00F50AAE"/>
    <w:rsid w:val="00F60879"/>
    <w:rsid w:val="00F6099A"/>
    <w:rsid w:val="00F62A13"/>
    <w:rsid w:val="00F74D7D"/>
    <w:rsid w:val="00F81B3B"/>
    <w:rsid w:val="00F82777"/>
    <w:rsid w:val="00F90228"/>
    <w:rsid w:val="00FA15BF"/>
    <w:rsid w:val="00FA75B6"/>
    <w:rsid w:val="00FB7A90"/>
    <w:rsid w:val="00FC513D"/>
    <w:rsid w:val="00FC57BB"/>
    <w:rsid w:val="00FC7FE0"/>
    <w:rsid w:val="00FD3A6F"/>
    <w:rsid w:val="00FD5776"/>
    <w:rsid w:val="00FF03A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channel.org/blog/2014/08/28/tips-for-calibrating-feedback/" TargetMode="External"/><Relationship Id="rId13" Type="http://schemas.openxmlformats.org/officeDocument/2006/relationships/hyperlink" Target="https://newsela.com/articles/conservation-careers/id/5030/" TargetMode="External"/><Relationship Id="rId18" Type="http://schemas.openxmlformats.org/officeDocument/2006/relationships/hyperlink" Target="https://www.tenmarks.com/logi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ncte.org/library/NCTEFiles/Resources/Journals/VM/0212-dec2013/VM0212Formative.pdf?roi=echo4-27714982401-45620608-70b8bef81f928b52cba311fc4747fd18&amp;utm_source=22621391&amp;amp;utm_medium=Email&amp;amp;utm_campaign=High+Road" TargetMode="External"/><Relationship Id="rId12" Type="http://schemas.openxmlformats.org/officeDocument/2006/relationships/hyperlink" Target="https://newsela.com/articles/headdress-twitter/id/5016/" TargetMode="External"/><Relationship Id="rId17" Type="http://schemas.openxmlformats.org/officeDocument/2006/relationships/hyperlink" Target="http://www.slideshare.net/ledavis/plot-structure-33784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dwritethink.org/classroom-resources/lesson-plans/teaching-plot-structure-through-401.html?tab=4" TargetMode="External"/><Relationship Id="rId20" Type="http://schemas.openxmlformats.org/officeDocument/2006/relationships/hyperlink" Target="http://ncasw.ncdpi.wikispaces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cure.ncte.org/store/course-using-evidence-fall-2014?roi=echo4-27714982401-45620600-e8d8cb2bc3c38716b518b7f6d4abd656&amp;utm_source=22621391&amp;amp;utm_medium=Email&amp;amp;utm_campaign=High+Road" TargetMode="External"/><Relationship Id="rId11" Type="http://schemas.openxmlformats.org/officeDocument/2006/relationships/hyperlink" Target="https://newsela.com/articles/bacon-priceincrease/id/4986/" TargetMode="External"/><Relationship Id="rId5" Type="http://schemas.openxmlformats.org/officeDocument/2006/relationships/hyperlink" Target="http://blogs.kqed.org/mindshift/2014/08/need-help-picking-the-right-learning-game-some-things-to-consider/" TargetMode="External"/><Relationship Id="rId15" Type="http://schemas.openxmlformats.org/officeDocument/2006/relationships/hyperlink" Target="http://www.youtube.com/watch?v=VBmEJZofz2s&amp;sns=e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sela.com/articles/deathvalley-rocks/id/5027/" TargetMode="External"/><Relationship Id="rId19" Type="http://schemas.openxmlformats.org/officeDocument/2006/relationships/hyperlink" Target="https://www.quantiles.com/content/benefits-for-educa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askpublications.com/just-ask-resource-center/common-core-resources/" TargetMode="External"/><Relationship Id="rId14" Type="http://schemas.openxmlformats.org/officeDocument/2006/relationships/hyperlink" Target="https://newsela.com/articles/mustangs-northcarolina/id/501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kelley.miller</dc:creator>
  <cp:lastModifiedBy>kelley.miller</cp:lastModifiedBy>
  <cp:revision>25</cp:revision>
  <dcterms:created xsi:type="dcterms:W3CDTF">2014-09-02T13:34:00Z</dcterms:created>
  <dcterms:modified xsi:type="dcterms:W3CDTF">2014-09-05T16:07:00Z</dcterms:modified>
</cp:coreProperties>
</file>